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812F" w14:textId="77777777" w:rsidR="00A800EE" w:rsidRDefault="00A800EE"/>
    <w:p w14:paraId="6B54C727" w14:textId="77777777" w:rsidR="00094CBE" w:rsidRDefault="00094CBE"/>
    <w:p w14:paraId="2E3F411B" w14:textId="77777777" w:rsidR="00094CBE" w:rsidRDefault="00094CBE" w:rsidP="00094CBE">
      <w:pPr>
        <w:spacing w:before="240" w:after="240"/>
        <w:rPr>
          <w:rFonts w:ascii="Open Sans" w:eastAsia="Open Sans" w:hAnsi="Open Sans" w:cs="Open Sans"/>
          <w:b/>
        </w:rPr>
      </w:pPr>
      <w:r>
        <w:rPr>
          <w:rFonts w:ascii="Open Sans" w:eastAsia="Open Sans" w:hAnsi="Open Sans" w:cs="Open Sans"/>
          <w:b/>
        </w:rPr>
        <w:t xml:space="preserve">Advertising Industry Calls on the European Commission: </w:t>
      </w:r>
      <w:proofErr w:type="spellStart"/>
      <w:r>
        <w:rPr>
          <w:rFonts w:ascii="Open Sans" w:eastAsia="Open Sans" w:hAnsi="Open Sans" w:cs="Open Sans"/>
          <w:b/>
        </w:rPr>
        <w:t>Recognise</w:t>
      </w:r>
      <w:proofErr w:type="spellEnd"/>
      <w:r>
        <w:rPr>
          <w:rFonts w:ascii="Open Sans" w:eastAsia="Open Sans" w:hAnsi="Open Sans" w:cs="Open Sans"/>
          <w:b/>
        </w:rPr>
        <w:t xml:space="preserve"> Existing Digital Rules Ahead of the Digital Fairness Act</w:t>
      </w:r>
    </w:p>
    <w:p w14:paraId="4BB1716A" w14:textId="77777777" w:rsidR="00094CBE" w:rsidRDefault="00094CBE" w:rsidP="00094CBE">
      <w:pPr>
        <w:spacing w:before="240" w:after="240"/>
        <w:rPr>
          <w:rFonts w:ascii="Open Sans" w:eastAsia="Open Sans" w:hAnsi="Open Sans" w:cs="Open Sans"/>
        </w:rPr>
      </w:pPr>
      <w:r>
        <w:rPr>
          <w:rFonts w:ascii="Open Sans" w:eastAsia="Open Sans" w:hAnsi="Open Sans" w:cs="Open Sans"/>
          <w:i/>
        </w:rPr>
        <w:t>BRUSSELS, Belgium, 14th June 2025</w:t>
      </w:r>
      <w:r>
        <w:rPr>
          <w:rFonts w:ascii="Open Sans" w:eastAsia="Open Sans" w:hAnsi="Open Sans" w:cs="Open Sans"/>
        </w:rPr>
        <w:t xml:space="preserve"> – IAB Europe, together with a broad coalition of advertising industry associations, has called on the European Commission to </w:t>
      </w:r>
      <w:proofErr w:type="spellStart"/>
      <w:r>
        <w:rPr>
          <w:rFonts w:ascii="Open Sans" w:eastAsia="Open Sans" w:hAnsi="Open Sans" w:cs="Open Sans"/>
        </w:rPr>
        <w:t>recognise</w:t>
      </w:r>
      <w:proofErr w:type="spellEnd"/>
      <w:r>
        <w:rPr>
          <w:rFonts w:ascii="Open Sans" w:eastAsia="Open Sans" w:hAnsi="Open Sans" w:cs="Open Sans"/>
        </w:rPr>
        <w:t xml:space="preserve"> that the existing legal framework governing digital advertising already addresses the consumer protection concerns underpinning the upcoming Digital Fairness Act (DFA).</w:t>
      </w:r>
    </w:p>
    <w:p w14:paraId="7158C9B8" w14:textId="77777777" w:rsidR="00094CBE" w:rsidRDefault="00094CBE" w:rsidP="00094CBE">
      <w:pPr>
        <w:spacing w:before="240" w:after="240"/>
        <w:rPr>
          <w:rFonts w:ascii="Open Sans" w:eastAsia="Open Sans" w:hAnsi="Open Sans" w:cs="Open Sans"/>
        </w:rPr>
      </w:pPr>
      <w:r>
        <w:rPr>
          <w:rFonts w:ascii="Open Sans" w:eastAsia="Open Sans" w:hAnsi="Open Sans" w:cs="Open Sans"/>
        </w:rPr>
        <w:t xml:space="preserve">In a </w:t>
      </w:r>
      <w:hyperlink r:id="rId8">
        <w:r>
          <w:rPr>
            <w:rFonts w:ascii="Open Sans" w:eastAsia="Open Sans" w:hAnsi="Open Sans" w:cs="Open Sans"/>
            <w:color w:val="1155CC"/>
            <w:u w:val="single"/>
          </w:rPr>
          <w:t>joint letter</w:t>
        </w:r>
      </w:hyperlink>
      <w:r>
        <w:rPr>
          <w:rFonts w:ascii="Open Sans" w:eastAsia="Open Sans" w:hAnsi="Open Sans" w:cs="Open Sans"/>
        </w:rPr>
        <w:t xml:space="preserve"> to Executive Vice-President Henna Virkkunen and Commissioner Michael McGrath, IAB Europe and National Federations, including Alliance Digitale, BVDW, IAB Ireland, IAB Portugal, IAB Poland, IAB Slovakia, IAB Spain, IAB Sweden and, and National Advertisers’ Associations, including the Portuguese APAN and the German OWM, welcomed the Commission’s commitment to strengthening consumer protection. However, they raised serious concerns that the DFA process appears to be extending into areas already comprehensively covered by the Unfair Commercial Practices Directive (UCPD), Digital Services Act (DSA), and General Data Protection Regulation (GDPR).</w:t>
      </w:r>
    </w:p>
    <w:p w14:paraId="763F8C5B" w14:textId="77777777" w:rsidR="00094CBE" w:rsidRDefault="00094CBE" w:rsidP="00094CBE">
      <w:pPr>
        <w:spacing w:before="240" w:after="240"/>
        <w:rPr>
          <w:rFonts w:ascii="Open Sans" w:eastAsia="Open Sans" w:hAnsi="Open Sans" w:cs="Open Sans"/>
        </w:rPr>
      </w:pPr>
      <w:r>
        <w:rPr>
          <w:rFonts w:ascii="Open Sans" w:eastAsia="Open Sans" w:hAnsi="Open Sans" w:cs="Open Sans"/>
        </w:rPr>
        <w:t>The letter warns that layering new rules on top of existing frameworks would confuse companies, regulators, and consumers alike - undermining legal clarity, increasing compliance burdens, and contradicting the EU’s objective of simplification.</w:t>
      </w:r>
    </w:p>
    <w:p w14:paraId="7EF86A47" w14:textId="77777777" w:rsidR="00094CBE" w:rsidRDefault="00094CBE" w:rsidP="00094CBE">
      <w:pPr>
        <w:spacing w:before="240" w:after="240"/>
        <w:rPr>
          <w:rFonts w:ascii="Open Sans" w:eastAsia="Open Sans" w:hAnsi="Open Sans" w:cs="Open Sans"/>
        </w:rPr>
      </w:pPr>
      <w:r>
        <w:rPr>
          <w:rFonts w:ascii="Open Sans" w:eastAsia="Open Sans" w:hAnsi="Open Sans" w:cs="Open Sans"/>
        </w:rPr>
        <w:t xml:space="preserve">The signatories </w:t>
      </w:r>
      <w:proofErr w:type="spellStart"/>
      <w:r>
        <w:rPr>
          <w:rFonts w:ascii="Open Sans" w:eastAsia="Open Sans" w:hAnsi="Open Sans" w:cs="Open Sans"/>
        </w:rPr>
        <w:t>emphasised</w:t>
      </w:r>
      <w:proofErr w:type="spellEnd"/>
      <w:r>
        <w:rPr>
          <w:rFonts w:ascii="Open Sans" w:eastAsia="Open Sans" w:hAnsi="Open Sans" w:cs="Open Sans"/>
        </w:rPr>
        <w:t xml:space="preserve"> that digital advertising is already one of the most heavily regulated sectors in the EU. Many of the topics reportedly under consideration for the DFA, including </w:t>
      </w:r>
      <w:proofErr w:type="spellStart"/>
      <w:r>
        <w:rPr>
          <w:rFonts w:ascii="Open Sans" w:eastAsia="Open Sans" w:hAnsi="Open Sans" w:cs="Open Sans"/>
        </w:rPr>
        <w:t>personalised</w:t>
      </w:r>
      <w:proofErr w:type="spellEnd"/>
      <w:r>
        <w:rPr>
          <w:rFonts w:ascii="Open Sans" w:eastAsia="Open Sans" w:hAnsi="Open Sans" w:cs="Open Sans"/>
        </w:rPr>
        <w:t xml:space="preserve"> advertising, consent requirements, dark patterns, and influencer marketing, are already subject to robust regulation under the GDPR, </w:t>
      </w:r>
      <w:proofErr w:type="spellStart"/>
      <w:r>
        <w:rPr>
          <w:rFonts w:ascii="Open Sans" w:eastAsia="Open Sans" w:hAnsi="Open Sans" w:cs="Open Sans"/>
        </w:rPr>
        <w:t>ePrivacy</w:t>
      </w:r>
      <w:proofErr w:type="spellEnd"/>
      <w:r>
        <w:rPr>
          <w:rFonts w:ascii="Open Sans" w:eastAsia="Open Sans" w:hAnsi="Open Sans" w:cs="Open Sans"/>
        </w:rPr>
        <w:t xml:space="preserve"> Directive, DSA, UCPD, and AI Act, as well as sector-specific rules at both EU and national levels.</w:t>
      </w:r>
    </w:p>
    <w:p w14:paraId="1B12234D" w14:textId="77777777" w:rsidR="00094CBE" w:rsidRDefault="00094CBE" w:rsidP="00094CBE">
      <w:pPr>
        <w:spacing w:before="240" w:after="240"/>
        <w:rPr>
          <w:rFonts w:ascii="Open Sans" w:eastAsia="Open Sans" w:hAnsi="Open Sans" w:cs="Open Sans"/>
        </w:rPr>
      </w:pPr>
      <w:r>
        <w:rPr>
          <w:rFonts w:ascii="Open Sans" w:eastAsia="Open Sans" w:hAnsi="Open Sans" w:cs="Open Sans"/>
        </w:rPr>
        <w:t>Before introducing any new measures, IAB Europe and its co-signatories urge the Commission to:</w:t>
      </w:r>
    </w:p>
    <w:p w14:paraId="21E0FE0B" w14:textId="77777777" w:rsidR="00094CBE" w:rsidRDefault="00094CBE" w:rsidP="00094CBE">
      <w:pPr>
        <w:numPr>
          <w:ilvl w:val="0"/>
          <w:numId w:val="1"/>
        </w:numPr>
        <w:spacing w:before="240"/>
        <w:rPr>
          <w:rFonts w:ascii="Open Sans" w:eastAsia="Open Sans" w:hAnsi="Open Sans" w:cs="Open Sans"/>
        </w:rPr>
      </w:pPr>
      <w:proofErr w:type="spellStart"/>
      <w:r>
        <w:rPr>
          <w:rFonts w:ascii="Open Sans" w:eastAsia="Open Sans" w:hAnsi="Open Sans" w:cs="Open Sans"/>
        </w:rPr>
        <w:t>Prioritise</w:t>
      </w:r>
      <w:proofErr w:type="spellEnd"/>
      <w:r>
        <w:rPr>
          <w:rFonts w:ascii="Open Sans" w:eastAsia="Open Sans" w:hAnsi="Open Sans" w:cs="Open Sans"/>
        </w:rPr>
        <w:t xml:space="preserve"> enforcement of existing rules and support companies in achieving </w:t>
      </w:r>
      <w:proofErr w:type="gramStart"/>
      <w:r>
        <w:rPr>
          <w:rFonts w:ascii="Open Sans" w:eastAsia="Open Sans" w:hAnsi="Open Sans" w:cs="Open Sans"/>
        </w:rPr>
        <w:t>compliance;</w:t>
      </w:r>
      <w:proofErr w:type="gramEnd"/>
    </w:p>
    <w:p w14:paraId="4F7EA0E5" w14:textId="77777777" w:rsidR="00094CBE" w:rsidRDefault="00094CBE" w:rsidP="00094CBE">
      <w:pPr>
        <w:numPr>
          <w:ilvl w:val="0"/>
          <w:numId w:val="1"/>
        </w:numPr>
        <w:rPr>
          <w:rFonts w:ascii="Open Sans" w:eastAsia="Open Sans" w:hAnsi="Open Sans" w:cs="Open Sans"/>
        </w:rPr>
      </w:pPr>
      <w:r>
        <w:rPr>
          <w:rFonts w:ascii="Open Sans" w:eastAsia="Open Sans" w:hAnsi="Open Sans" w:cs="Open Sans"/>
        </w:rPr>
        <w:t xml:space="preserve">Evaluate the impact of recently adopted legislation, particularly the </w:t>
      </w:r>
      <w:proofErr w:type="gramStart"/>
      <w:r>
        <w:rPr>
          <w:rFonts w:ascii="Open Sans" w:eastAsia="Open Sans" w:hAnsi="Open Sans" w:cs="Open Sans"/>
        </w:rPr>
        <w:t>DSA;</w:t>
      </w:r>
      <w:proofErr w:type="gramEnd"/>
    </w:p>
    <w:p w14:paraId="47EF542C" w14:textId="77777777" w:rsidR="00094CBE" w:rsidRDefault="00094CBE" w:rsidP="00094CBE">
      <w:pPr>
        <w:numPr>
          <w:ilvl w:val="0"/>
          <w:numId w:val="1"/>
        </w:numPr>
        <w:rPr>
          <w:rFonts w:ascii="Open Sans" w:eastAsia="Open Sans" w:hAnsi="Open Sans" w:cs="Open Sans"/>
        </w:rPr>
      </w:pPr>
      <w:r>
        <w:rPr>
          <w:rFonts w:ascii="Open Sans" w:eastAsia="Open Sans" w:hAnsi="Open Sans" w:cs="Open Sans"/>
        </w:rPr>
        <w:lastRenderedPageBreak/>
        <w:t xml:space="preserve">Assess the legal framework to determine whether any genuine regulatory gaps </w:t>
      </w:r>
      <w:proofErr w:type="gramStart"/>
      <w:r>
        <w:rPr>
          <w:rFonts w:ascii="Open Sans" w:eastAsia="Open Sans" w:hAnsi="Open Sans" w:cs="Open Sans"/>
        </w:rPr>
        <w:t>remain;</w:t>
      </w:r>
      <w:proofErr w:type="gramEnd"/>
    </w:p>
    <w:p w14:paraId="437CF3CD" w14:textId="77777777" w:rsidR="00094CBE" w:rsidRDefault="00094CBE" w:rsidP="00094CBE">
      <w:pPr>
        <w:numPr>
          <w:ilvl w:val="0"/>
          <w:numId w:val="1"/>
        </w:numPr>
        <w:spacing w:after="240"/>
        <w:rPr>
          <w:rFonts w:ascii="Open Sans" w:eastAsia="Open Sans" w:hAnsi="Open Sans" w:cs="Open Sans"/>
        </w:rPr>
      </w:pPr>
      <w:r>
        <w:rPr>
          <w:rFonts w:ascii="Open Sans" w:eastAsia="Open Sans" w:hAnsi="Open Sans" w:cs="Open Sans"/>
        </w:rPr>
        <w:t>Limit consultations or impact assessments strictly to areas not already regulated.</w:t>
      </w:r>
    </w:p>
    <w:p w14:paraId="2BA1D4D1" w14:textId="77777777" w:rsidR="00094CBE" w:rsidRDefault="00094CBE" w:rsidP="00094CBE">
      <w:pPr>
        <w:spacing w:before="240" w:after="240"/>
        <w:rPr>
          <w:rFonts w:ascii="Open Sans" w:eastAsia="Open Sans" w:hAnsi="Open Sans" w:cs="Open Sans"/>
        </w:rPr>
      </w:pPr>
      <w:r>
        <w:rPr>
          <w:rFonts w:ascii="Open Sans" w:eastAsia="Open Sans" w:hAnsi="Open Sans" w:cs="Open Sans"/>
        </w:rPr>
        <w:t>The industry remains committed to constructive engagement to address any proven gaps. However, there is a need to first provide clear evidence that additional regulation is necessary, rather than duplicating the EU’s already extensive digital rulebook.</w:t>
      </w:r>
    </w:p>
    <w:p w14:paraId="2076FC6D" w14:textId="0FBEAEDA" w:rsidR="00094CBE" w:rsidRDefault="00094CBE" w:rsidP="00094CBE">
      <w:pPr>
        <w:spacing w:before="240" w:after="240"/>
        <w:rPr>
          <w:rFonts w:ascii="Open Sans" w:eastAsia="Open Sans" w:hAnsi="Open Sans" w:cs="Open Sans"/>
        </w:rPr>
      </w:pPr>
      <w:r>
        <w:rPr>
          <w:rFonts w:ascii="Open Sans" w:eastAsia="Open Sans" w:hAnsi="Open Sans" w:cs="Open Sans"/>
          <w:highlight w:val="white"/>
        </w:rPr>
        <w:t xml:space="preserve">The full text of the letter can be found </w:t>
      </w:r>
      <w:hyperlink r:id="rId9">
        <w:r>
          <w:rPr>
            <w:rFonts w:ascii="Open Sans" w:eastAsia="Open Sans" w:hAnsi="Open Sans" w:cs="Open Sans"/>
            <w:b/>
            <w:color w:val="1155CC"/>
            <w:highlight w:val="white"/>
            <w:u w:val="single"/>
          </w:rPr>
          <w:t>here</w:t>
        </w:r>
      </w:hyperlink>
      <w:r>
        <w:rPr>
          <w:rFonts w:ascii="Open Sans" w:eastAsia="Open Sans" w:hAnsi="Open Sans" w:cs="Open Sans"/>
          <w:highlight w:val="white"/>
        </w:rPr>
        <w:t xml:space="preserve">. For further information, please contact Ines Talavera, Public Policy Manager, IAB Europe - </w:t>
      </w:r>
      <w:proofErr w:type="spellStart"/>
      <w:r>
        <w:rPr>
          <w:rFonts w:ascii="Open Sans" w:eastAsia="Open Sans" w:hAnsi="Open Sans" w:cs="Open Sans"/>
          <w:highlight w:val="white"/>
        </w:rPr>
        <w:t>talavera</w:t>
      </w:r>
      <w:proofErr w:type="spellEnd"/>
      <w:r>
        <w:rPr>
          <w:rFonts w:ascii="Open Sans" w:eastAsia="Open Sans" w:hAnsi="Open Sans" w:cs="Open Sans"/>
          <w:highlight w:val="white"/>
        </w:rPr>
        <w:t xml:space="preserve"> [at] iabeurope.eu, or Lauren Wakefield, IAB Europe - </w:t>
      </w:r>
      <w:proofErr w:type="spellStart"/>
      <w:r>
        <w:rPr>
          <w:rFonts w:ascii="Open Sans" w:eastAsia="Open Sans" w:hAnsi="Open Sans" w:cs="Open Sans"/>
          <w:highlight w:val="white"/>
        </w:rPr>
        <w:t>wakefield</w:t>
      </w:r>
      <w:proofErr w:type="spellEnd"/>
      <w:r>
        <w:rPr>
          <w:rFonts w:ascii="Open Sans" w:eastAsia="Open Sans" w:hAnsi="Open Sans" w:cs="Open Sans"/>
          <w:highlight w:val="white"/>
        </w:rPr>
        <w:t xml:space="preserve"> [at] iabeurope.eu.</w:t>
      </w:r>
    </w:p>
    <w:p w14:paraId="2D51EA2E" w14:textId="77777777" w:rsidR="00094CBE" w:rsidRDefault="00094CBE" w:rsidP="00094CBE">
      <w:pPr>
        <w:spacing w:before="240" w:after="240"/>
        <w:rPr>
          <w:rFonts w:ascii="Open Sans" w:eastAsia="Open Sans" w:hAnsi="Open Sans" w:cs="Open Sans"/>
        </w:rPr>
      </w:pPr>
    </w:p>
    <w:p w14:paraId="04E80F26" w14:textId="77777777" w:rsidR="00094CBE" w:rsidRDefault="00094CBE" w:rsidP="00094CBE">
      <w:pPr>
        <w:spacing w:before="240" w:after="240"/>
        <w:rPr>
          <w:rFonts w:ascii="Open Sans" w:eastAsia="Open Sans" w:hAnsi="Open Sans" w:cs="Open Sans"/>
        </w:rPr>
      </w:pPr>
    </w:p>
    <w:p w14:paraId="3A2CEBDD" w14:textId="77777777" w:rsidR="00094CBE" w:rsidRPr="00094CBE" w:rsidRDefault="00094CBE" w:rsidP="00094CBE">
      <w:pPr>
        <w:spacing w:before="240" w:after="240"/>
        <w:rPr>
          <w:rFonts w:ascii="Open Sans" w:eastAsia="Open Sans" w:hAnsi="Open Sans" w:cs="Open Sans"/>
        </w:rPr>
      </w:pPr>
    </w:p>
    <w:sectPr w:rsidR="00094CBE" w:rsidRPr="00094CB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2B29C" w14:textId="77777777" w:rsidR="001C5A51" w:rsidRDefault="001C5A51" w:rsidP="00094CBE">
      <w:pPr>
        <w:spacing w:line="240" w:lineRule="auto"/>
      </w:pPr>
      <w:r>
        <w:separator/>
      </w:r>
    </w:p>
  </w:endnote>
  <w:endnote w:type="continuationSeparator" w:id="0">
    <w:p w14:paraId="72EDF54D" w14:textId="77777777" w:rsidR="001C5A51" w:rsidRDefault="001C5A51" w:rsidP="00094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EAF86" w14:textId="77777777" w:rsidR="001C5A51" w:rsidRDefault="001C5A51" w:rsidP="00094CBE">
      <w:pPr>
        <w:spacing w:line="240" w:lineRule="auto"/>
      </w:pPr>
      <w:r>
        <w:separator/>
      </w:r>
    </w:p>
  </w:footnote>
  <w:footnote w:type="continuationSeparator" w:id="0">
    <w:p w14:paraId="67071406" w14:textId="77777777" w:rsidR="001C5A51" w:rsidRDefault="001C5A51" w:rsidP="00094C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C417" w14:textId="28EA3674" w:rsidR="00094CBE" w:rsidRDefault="00094CBE">
    <w:pPr>
      <w:pStyle w:val="En-tte"/>
    </w:pPr>
    <w:r>
      <w:rPr>
        <w:noProof/>
      </w:rPr>
      <w:drawing>
        <wp:inline distT="0" distB="0" distL="0" distR="0" wp14:anchorId="3C37BF61" wp14:editId="03125145">
          <wp:extent cx="5760720" cy="1474470"/>
          <wp:effectExtent l="0" t="0" r="5080" b="0"/>
          <wp:docPr id="2058411549" name="Image 1"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411549" name="Image 1" descr="Une image contenant texte, Police, capture d’écran,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5760720" cy="1474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45161"/>
    <w:multiLevelType w:val="multilevel"/>
    <w:tmpl w:val="60E21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590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BE"/>
    <w:rsid w:val="00094CBE"/>
    <w:rsid w:val="000F5673"/>
    <w:rsid w:val="001C5A51"/>
    <w:rsid w:val="00A800EE"/>
    <w:rsid w:val="00A8142B"/>
    <w:rsid w:val="00B41A2E"/>
    <w:rsid w:val="00FC5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7F4F"/>
  <w15:chartTrackingRefBased/>
  <w15:docId w15:val="{DC306331-99C6-7B46-90EF-5D2A1113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BE"/>
    <w:pPr>
      <w:spacing w:line="276" w:lineRule="auto"/>
    </w:pPr>
    <w:rPr>
      <w:rFonts w:ascii="Arial" w:eastAsia="Arial" w:hAnsi="Arial" w:cs="Arial"/>
      <w:kern w:val="0"/>
      <w:sz w:val="22"/>
      <w:szCs w:val="22"/>
      <w:lang w:val="en" w:eastAsia="fr-FR"/>
      <w14:ligatures w14:val="none"/>
    </w:rPr>
  </w:style>
  <w:style w:type="paragraph" w:styleId="Titre1">
    <w:name w:val="heading 1"/>
    <w:basedOn w:val="Normal"/>
    <w:next w:val="Normal"/>
    <w:link w:val="Titre1Car"/>
    <w:uiPriority w:val="9"/>
    <w:qFormat/>
    <w:rsid w:val="00094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94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94CB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94CB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94CB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94CB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94CB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94CB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94CB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4CB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94CB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94CB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94CB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94CB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94CB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94CB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94CB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94CBE"/>
    <w:rPr>
      <w:rFonts w:eastAsiaTheme="majorEastAsia" w:cstheme="majorBidi"/>
      <w:color w:val="272727" w:themeColor="text1" w:themeTint="D8"/>
    </w:rPr>
  </w:style>
  <w:style w:type="paragraph" w:styleId="Titre">
    <w:name w:val="Title"/>
    <w:basedOn w:val="Normal"/>
    <w:next w:val="Normal"/>
    <w:link w:val="TitreCar"/>
    <w:uiPriority w:val="10"/>
    <w:qFormat/>
    <w:rsid w:val="00094CB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4CB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94CB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94CB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94CB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94CBE"/>
    <w:rPr>
      <w:i/>
      <w:iCs/>
      <w:color w:val="404040" w:themeColor="text1" w:themeTint="BF"/>
    </w:rPr>
  </w:style>
  <w:style w:type="paragraph" w:styleId="Paragraphedeliste">
    <w:name w:val="List Paragraph"/>
    <w:basedOn w:val="Normal"/>
    <w:uiPriority w:val="34"/>
    <w:qFormat/>
    <w:rsid w:val="00094CBE"/>
    <w:pPr>
      <w:ind w:left="720"/>
      <w:contextualSpacing/>
    </w:pPr>
  </w:style>
  <w:style w:type="character" w:styleId="Accentuationintense">
    <w:name w:val="Intense Emphasis"/>
    <w:basedOn w:val="Policepardfaut"/>
    <w:uiPriority w:val="21"/>
    <w:qFormat/>
    <w:rsid w:val="00094CBE"/>
    <w:rPr>
      <w:i/>
      <w:iCs/>
      <w:color w:val="0F4761" w:themeColor="accent1" w:themeShade="BF"/>
    </w:rPr>
  </w:style>
  <w:style w:type="paragraph" w:styleId="Citationintense">
    <w:name w:val="Intense Quote"/>
    <w:basedOn w:val="Normal"/>
    <w:next w:val="Normal"/>
    <w:link w:val="CitationintenseCar"/>
    <w:uiPriority w:val="30"/>
    <w:qFormat/>
    <w:rsid w:val="00094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94CBE"/>
    <w:rPr>
      <w:i/>
      <w:iCs/>
      <w:color w:val="0F4761" w:themeColor="accent1" w:themeShade="BF"/>
    </w:rPr>
  </w:style>
  <w:style w:type="character" w:styleId="Rfrenceintense">
    <w:name w:val="Intense Reference"/>
    <w:basedOn w:val="Policepardfaut"/>
    <w:uiPriority w:val="32"/>
    <w:qFormat/>
    <w:rsid w:val="00094CBE"/>
    <w:rPr>
      <w:b/>
      <w:bCs/>
      <w:smallCaps/>
      <w:color w:val="0F4761" w:themeColor="accent1" w:themeShade="BF"/>
      <w:spacing w:val="5"/>
    </w:rPr>
  </w:style>
  <w:style w:type="paragraph" w:styleId="En-tte">
    <w:name w:val="header"/>
    <w:basedOn w:val="Normal"/>
    <w:link w:val="En-tteCar"/>
    <w:uiPriority w:val="99"/>
    <w:unhideWhenUsed/>
    <w:rsid w:val="00094CBE"/>
    <w:pPr>
      <w:tabs>
        <w:tab w:val="center" w:pos="4536"/>
        <w:tab w:val="right" w:pos="9072"/>
      </w:tabs>
    </w:pPr>
  </w:style>
  <w:style w:type="character" w:customStyle="1" w:styleId="En-tteCar">
    <w:name w:val="En-tête Car"/>
    <w:basedOn w:val="Policepardfaut"/>
    <w:link w:val="En-tte"/>
    <w:uiPriority w:val="99"/>
    <w:rsid w:val="00094CBE"/>
  </w:style>
  <w:style w:type="paragraph" w:styleId="Pieddepage">
    <w:name w:val="footer"/>
    <w:basedOn w:val="Normal"/>
    <w:link w:val="PieddepageCar"/>
    <w:uiPriority w:val="99"/>
    <w:unhideWhenUsed/>
    <w:rsid w:val="00094CBE"/>
    <w:pPr>
      <w:tabs>
        <w:tab w:val="center" w:pos="4536"/>
        <w:tab w:val="right" w:pos="9072"/>
      </w:tabs>
    </w:pPr>
  </w:style>
  <w:style w:type="character" w:customStyle="1" w:styleId="PieddepageCar">
    <w:name w:val="Pied de page Car"/>
    <w:basedOn w:val="Policepardfaut"/>
    <w:link w:val="Pieddepage"/>
    <w:uiPriority w:val="99"/>
    <w:rsid w:val="00094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beurope.eu/wp-content/uploads/140725_FINAL_IAB-Europe-letter-_-statement-DF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abeurope.eu/wp-content/uploads/140725_FINAL_IAB-Europe-letter-_-statement-DF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5725-DE55-E349-806A-927B4A51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2490</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Victoire Garret</dc:creator>
  <cp:keywords/>
  <dc:description/>
  <cp:lastModifiedBy>Victoire Garret</cp:lastModifiedBy>
  <cp:revision>1</cp:revision>
  <dcterms:created xsi:type="dcterms:W3CDTF">2025-07-15T15:19:00Z</dcterms:created>
  <dcterms:modified xsi:type="dcterms:W3CDTF">2025-07-15T15:22:00Z</dcterms:modified>
</cp:coreProperties>
</file>